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Lidingö kommunfullmäktige</w:t>
      </w:r>
    </w:p>
    <w:p>
      <w:pPr>
        <w:pStyle w:val="Heading1"/>
      </w:pPr>
      <w:r>
        <w:t xml:space="preserve">Förenkla tillstånd och avgifter för lokalt företagande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Lidingö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Lidingös företagsklimat är bra men handläggningstider för bygglov och serveringstillstånd är längre än genomsnittet i länet (Svenskt Näringsliv 2025). Förenklingar kan skapa fler lokala jobb och stärka öns serviceutbud.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Lidingö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inför en digital portal för samordnade tillståndsärenden med målet att halvera handläggningstiden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sänker avgifterna för bygglov under 500 kvm för småföretag med 20 procent under en treårsperiod.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arrangerar årliga företagarträffar tillsammans med Lidingö Företagarförening.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kommunen utreder möjligheten till en lokal företagslotsfunktion.</w:t>
      </w:r>
    </w:p>
    <w:p>
      <w:pPr>
        <w:spacing w:before="360"/>
      </w:pPr>
    </w:p>
    <w:p>
      <w:r>
        <w:t xml:space="preserve">Lidingö,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Lidingö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2026-07-14T00:38:49.434Z</dcterms:created>
  <dcterms:modified xsi:type="dcterms:W3CDTF">2026-07-14T00:38:49.434Z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